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D5A86" w14:textId="16564EE4" w:rsidR="00A304F2" w:rsidRPr="009A7D6E" w:rsidRDefault="00A304F2" w:rsidP="003E6FBB">
      <w:pPr>
        <w:widowControl w:val="0"/>
        <w:autoSpaceDE w:val="0"/>
        <w:autoSpaceDN w:val="0"/>
        <w:adjustRightInd w:val="0"/>
        <w:spacing w:after="0" w:line="240" w:lineRule="auto"/>
        <w:ind w:right="30"/>
        <w:jc w:val="center"/>
        <w:rPr>
          <w:rFonts w:ascii="Arial" w:hAnsi="Arial" w:cs="Arial"/>
          <w:b/>
          <w:sz w:val="28"/>
          <w:szCs w:val="28"/>
        </w:rPr>
      </w:pPr>
      <w:r w:rsidRPr="009A7D6E">
        <w:rPr>
          <w:rFonts w:ascii="Arial" w:hAnsi="Arial" w:cs="Arial"/>
          <w:b/>
          <w:sz w:val="28"/>
          <w:szCs w:val="28"/>
        </w:rPr>
        <w:t>Sample Letter of Medical Necessity</w:t>
      </w:r>
      <w:r w:rsidR="003A3662">
        <w:rPr>
          <w:rFonts w:ascii="Arial" w:hAnsi="Arial" w:cs="Arial"/>
          <w:b/>
          <w:sz w:val="28"/>
          <w:szCs w:val="28"/>
        </w:rPr>
        <w:t>*</w:t>
      </w:r>
    </w:p>
    <w:p w14:paraId="42B5BD84" w14:textId="1631DA06" w:rsidR="00D868F1" w:rsidRPr="00EE2284" w:rsidRDefault="00D868F1" w:rsidP="00D868F1">
      <w:pPr>
        <w:autoSpaceDE w:val="0"/>
        <w:autoSpaceDN w:val="0"/>
        <w:jc w:val="center"/>
        <w:rPr>
          <w:rFonts w:ascii="Arial" w:hAnsi="Arial" w:cs="Arial"/>
          <w:sz w:val="18"/>
          <w:szCs w:val="18"/>
        </w:rPr>
      </w:pPr>
      <w:r w:rsidRPr="00EE2284">
        <w:rPr>
          <w:rFonts w:ascii="Arial" w:hAnsi="Arial" w:cs="Arial"/>
          <w:sz w:val="18"/>
          <w:szCs w:val="18"/>
        </w:rPr>
        <w:t>(*</w:t>
      </w:r>
      <w:r w:rsidR="00FB40F1">
        <w:rPr>
          <w:rFonts w:ascii="Arial" w:hAnsi="Arial" w:cs="Arial"/>
          <w:sz w:val="18"/>
          <w:szCs w:val="18"/>
        </w:rPr>
        <w:t>This template is intended only as an example. It should be customized with patient-specific details and any other information deemed necessary, then printed on your letterhead prior to submission to the payer.)</w:t>
      </w:r>
    </w:p>
    <w:p w14:paraId="2CE0343A" w14:textId="77777777" w:rsidR="009A7D6E" w:rsidRDefault="00A304F2" w:rsidP="00D868F1">
      <w:pPr>
        <w:pStyle w:val="BOLDTEXT"/>
        <w:spacing w:before="60"/>
      </w:pPr>
      <w:r w:rsidRPr="009A7D6E">
        <w:t>[Insert physician letterhead]</w:t>
      </w:r>
      <w:r w:rsidR="006129DC" w:rsidRPr="006129DC">
        <w:rPr>
          <w:noProof/>
        </w:rPr>
        <w:t xml:space="preserve"> </w:t>
      </w:r>
    </w:p>
    <w:p w14:paraId="304053F0" w14:textId="77777777" w:rsidR="009A7D6E" w:rsidRPr="00D868F1" w:rsidRDefault="009A7D6E" w:rsidP="003E6FBB">
      <w:pPr>
        <w:pStyle w:val="TEXT"/>
        <w:tabs>
          <w:tab w:val="left" w:pos="5310"/>
          <w:tab w:val="left" w:pos="5760"/>
          <w:tab w:val="right" w:pos="9605"/>
        </w:tabs>
        <w:spacing w:before="60"/>
        <w:rPr>
          <w:sz w:val="17"/>
          <w:szCs w:val="17"/>
        </w:rPr>
      </w:pPr>
    </w:p>
    <w:p w14:paraId="2EE0E0E0" w14:textId="77777777" w:rsidR="009A7D6E" w:rsidRDefault="009A7D6E" w:rsidP="003E6FBB">
      <w:pPr>
        <w:pStyle w:val="TEXT"/>
        <w:tabs>
          <w:tab w:val="left" w:pos="5310"/>
          <w:tab w:val="left" w:pos="5760"/>
          <w:tab w:val="right" w:pos="9605"/>
        </w:tabs>
        <w:spacing w:before="60"/>
      </w:pPr>
      <w:r>
        <w:t>[</w:t>
      </w:r>
      <w:r w:rsidR="00A304F2" w:rsidRPr="009A7D6E">
        <w:t>Medical Director]</w:t>
      </w:r>
      <w:r w:rsidR="0057713D" w:rsidRPr="009A7D6E">
        <w:tab/>
      </w:r>
      <w:r>
        <w:t>RE:</w:t>
      </w:r>
      <w:r>
        <w:tab/>
      </w:r>
      <w:r w:rsidR="0057713D" w:rsidRPr="009A7D6E">
        <w:t>P</w:t>
      </w:r>
      <w:r>
        <w:t>atient Name</w:t>
      </w:r>
      <w:r w:rsidR="00A75082" w:rsidRPr="00A75082">
        <w:rPr>
          <w:u w:val="single"/>
        </w:rPr>
        <w:tab/>
      </w:r>
      <w:r w:rsidRPr="009A7D6E">
        <w:tab/>
      </w:r>
    </w:p>
    <w:p w14:paraId="041FBE2E" w14:textId="77777777" w:rsidR="009A7D6E" w:rsidRDefault="00A304F2" w:rsidP="003E6FBB">
      <w:pPr>
        <w:pStyle w:val="TEXT"/>
        <w:tabs>
          <w:tab w:val="left" w:pos="5310"/>
          <w:tab w:val="left" w:pos="5760"/>
          <w:tab w:val="right" w:pos="9605"/>
        </w:tabs>
        <w:spacing w:before="60"/>
      </w:pPr>
      <w:r w:rsidRPr="009A7D6E">
        <w:t>[Insurance Company]</w:t>
      </w:r>
      <w:r w:rsidR="0057713D" w:rsidRPr="009A7D6E">
        <w:tab/>
      </w:r>
      <w:r w:rsidR="009A7D6E">
        <w:tab/>
        <w:t>Policy Number</w:t>
      </w:r>
      <w:r w:rsidR="009A7D6E" w:rsidRPr="009A7D6E">
        <w:rPr>
          <w:u w:val="single"/>
        </w:rPr>
        <w:tab/>
      </w:r>
    </w:p>
    <w:p w14:paraId="50CFA528" w14:textId="77777777" w:rsidR="009A7D6E" w:rsidRDefault="00A304F2" w:rsidP="003E6FBB">
      <w:pPr>
        <w:pStyle w:val="TEXT"/>
        <w:tabs>
          <w:tab w:val="left" w:pos="5310"/>
          <w:tab w:val="left" w:pos="5760"/>
          <w:tab w:val="right" w:pos="9605"/>
        </w:tabs>
        <w:spacing w:before="60"/>
      </w:pPr>
      <w:r w:rsidRPr="009A7D6E">
        <w:t>[Address]</w:t>
      </w:r>
      <w:r w:rsidR="009A7D6E">
        <w:tab/>
      </w:r>
      <w:r w:rsidR="009A7D6E">
        <w:tab/>
      </w:r>
      <w:r w:rsidRPr="009A7D6E">
        <w:t>Claim</w:t>
      </w:r>
      <w:r w:rsidR="0057713D" w:rsidRPr="009A7D6E">
        <w:t xml:space="preserve"> </w:t>
      </w:r>
      <w:r w:rsidR="009A7D6E">
        <w:t>Number</w:t>
      </w:r>
      <w:r w:rsidR="009A7D6E" w:rsidRPr="009A7D6E">
        <w:rPr>
          <w:u w:val="single"/>
        </w:rPr>
        <w:tab/>
      </w:r>
    </w:p>
    <w:p w14:paraId="48FFBD15" w14:textId="77777777" w:rsidR="00A304F2" w:rsidRPr="009A7D6E" w:rsidRDefault="00A304F2" w:rsidP="003E6FBB">
      <w:pPr>
        <w:pStyle w:val="TEXT"/>
        <w:tabs>
          <w:tab w:val="left" w:pos="5310"/>
          <w:tab w:val="left" w:pos="5760"/>
          <w:tab w:val="right" w:pos="9605"/>
        </w:tabs>
        <w:spacing w:before="60"/>
      </w:pPr>
      <w:r w:rsidRPr="009A7D6E">
        <w:t>[City, State, ZIP]</w:t>
      </w:r>
    </w:p>
    <w:p w14:paraId="1605A865" w14:textId="2A8B0C84" w:rsidR="00A304F2" w:rsidRPr="009A7D6E" w:rsidRDefault="00A304F2" w:rsidP="001775AD">
      <w:pPr>
        <w:pStyle w:val="TEXT"/>
        <w:spacing w:before="240"/>
      </w:pPr>
      <w:r w:rsidRPr="009A7D6E">
        <w:t>Dear</w:t>
      </w:r>
      <w:r w:rsidR="00A75082">
        <w:t xml:space="preserve"> </w:t>
      </w:r>
      <w:r w:rsidR="00A75082" w:rsidRPr="00A75082">
        <w:rPr>
          <w:b/>
        </w:rPr>
        <w:t>[</w:t>
      </w:r>
      <w:r w:rsidR="00F41595">
        <w:rPr>
          <w:b/>
        </w:rPr>
        <w:t>I</w:t>
      </w:r>
      <w:r w:rsidR="00A75082" w:rsidRPr="00A75082">
        <w:rPr>
          <w:b/>
        </w:rPr>
        <w:t>nsert name</w:t>
      </w:r>
      <w:r w:rsidR="00020D62">
        <w:rPr>
          <w:b/>
        </w:rPr>
        <w:t xml:space="preserve"> of Medical Director</w:t>
      </w:r>
      <w:r w:rsidR="00A75082" w:rsidRPr="00A75082">
        <w:rPr>
          <w:b/>
        </w:rPr>
        <w:t>]</w:t>
      </w:r>
      <w:r w:rsidRPr="009A7D6E">
        <w:t>:</w:t>
      </w:r>
    </w:p>
    <w:p w14:paraId="68E80133" w14:textId="797AAE28" w:rsidR="00A304F2" w:rsidRPr="009A7D6E" w:rsidRDefault="005007EB" w:rsidP="003E6FBB">
      <w:pPr>
        <w:pStyle w:val="BOLDTEXT"/>
      </w:pPr>
      <w:r>
        <w:t>Please accept this Letter of Medical Necessity for the patient named above. Below is a s</w:t>
      </w:r>
      <w:r w:rsidR="00A304F2" w:rsidRPr="009A7D6E">
        <w:t xml:space="preserve">ummary of </w:t>
      </w:r>
      <w:r w:rsidR="00B85B70">
        <w:t>the p</w:t>
      </w:r>
      <w:r w:rsidR="00A304F2" w:rsidRPr="009A7D6E">
        <w:t xml:space="preserve">atient’s </w:t>
      </w:r>
      <w:r w:rsidR="00B85B70">
        <w:t>h</w:t>
      </w:r>
      <w:r w:rsidR="00A304F2" w:rsidRPr="009A7D6E">
        <w:t>istory</w:t>
      </w:r>
      <w:r w:rsidR="00917AC6" w:rsidRPr="009A7D6E">
        <w:t xml:space="preserve"> </w:t>
      </w:r>
      <w:r w:rsidR="00A304F2" w:rsidRPr="009A7D6E">
        <w:t>[You may want to include]:</w:t>
      </w:r>
    </w:p>
    <w:p w14:paraId="661A494C" w14:textId="77777777" w:rsidR="00A304F2" w:rsidRPr="009A7D6E" w:rsidRDefault="00A304F2" w:rsidP="003E6FBB">
      <w:pPr>
        <w:pStyle w:val="BOLDBULLETS"/>
      </w:pPr>
      <w:r w:rsidRPr="009A7D6E">
        <w:t>•</w:t>
      </w:r>
      <w:r w:rsidR="00917AC6" w:rsidRPr="009A7D6E">
        <w:tab/>
        <w:t>Patient’s</w:t>
      </w:r>
      <w:r w:rsidRPr="009A7D6E">
        <w:t xml:space="preserve"> condition and history</w:t>
      </w:r>
    </w:p>
    <w:p w14:paraId="197AC932" w14:textId="77777777" w:rsidR="00A304F2" w:rsidRPr="009A7D6E" w:rsidRDefault="00A304F2" w:rsidP="003E6FBB">
      <w:pPr>
        <w:pStyle w:val="BOLDBULLETS"/>
      </w:pPr>
      <w:r w:rsidRPr="009A7D6E">
        <w:t>•</w:t>
      </w:r>
      <w:r w:rsidRPr="009A7D6E">
        <w:tab/>
        <w:t xml:space="preserve">Previous </w:t>
      </w:r>
      <w:r w:rsidR="00917AC6" w:rsidRPr="009A7D6E">
        <w:t>therapies</w:t>
      </w:r>
      <w:r w:rsidRPr="009A7D6E">
        <w:t xml:space="preserve"> the patient has undergone for the symptoms associated w</w:t>
      </w:r>
      <w:r w:rsidR="00917AC6" w:rsidRPr="009A7D6E">
        <w:t>ith</w:t>
      </w:r>
      <w:r w:rsidRPr="009A7D6E">
        <w:t xml:space="preserve"> </w:t>
      </w:r>
      <w:r w:rsidR="00924809" w:rsidRPr="009A7D6E">
        <w:t xml:space="preserve">moderate to severe </w:t>
      </w:r>
      <w:r w:rsidR="001A76D6">
        <w:t xml:space="preserve">plaque </w:t>
      </w:r>
      <w:r w:rsidR="00924809" w:rsidRPr="009A7D6E">
        <w:t>psoriasis</w:t>
      </w:r>
    </w:p>
    <w:p w14:paraId="16853BD0" w14:textId="77777777" w:rsidR="00A304F2" w:rsidRPr="009A7D6E" w:rsidRDefault="00A304F2" w:rsidP="003E6FBB">
      <w:pPr>
        <w:pStyle w:val="BOLDBULLETS"/>
      </w:pPr>
      <w:r w:rsidRPr="009A7D6E">
        <w:t>•</w:t>
      </w:r>
      <w:r w:rsidR="00917AC6" w:rsidRPr="009A7D6E">
        <w:tab/>
        <w:t>Patient’s</w:t>
      </w:r>
      <w:r w:rsidRPr="009A7D6E">
        <w:t xml:space="preserve"> response</w:t>
      </w:r>
      <w:r w:rsidR="00917AC6" w:rsidRPr="009A7D6E">
        <w:t xml:space="preserve"> </w:t>
      </w:r>
      <w:r w:rsidRPr="009A7D6E">
        <w:t>to these therapies</w:t>
      </w:r>
    </w:p>
    <w:p w14:paraId="10545A54" w14:textId="77777777" w:rsidR="00A304F2" w:rsidRPr="009A7D6E" w:rsidRDefault="00A304F2" w:rsidP="003E6FBB">
      <w:pPr>
        <w:pStyle w:val="BOLDBULLETS"/>
      </w:pPr>
      <w:r w:rsidRPr="009A7D6E">
        <w:t>•</w:t>
      </w:r>
      <w:r w:rsidRPr="009A7D6E">
        <w:tab/>
        <w:t>Brief description of the patient’s recent symptoms and conditions</w:t>
      </w:r>
    </w:p>
    <w:p w14:paraId="0F1A1219" w14:textId="3065B638" w:rsidR="00A304F2" w:rsidRPr="009A7D6E" w:rsidRDefault="00A304F2" w:rsidP="003E6FBB">
      <w:pPr>
        <w:pStyle w:val="BOLDBULLETS"/>
      </w:pPr>
    </w:p>
    <w:p w14:paraId="76350ACB" w14:textId="3A5271D0" w:rsidR="00A304F2" w:rsidRPr="009A7D6E" w:rsidRDefault="00054DDB" w:rsidP="00CE4075">
      <w:pPr>
        <w:pStyle w:val="BOLDTEXT"/>
        <w:spacing w:before="60"/>
      </w:pPr>
      <w:sdt>
        <w:sdtPr>
          <w:rPr>
            <w:color w:val="FF0000"/>
          </w:rPr>
          <w:id w:val="-2035028458"/>
        </w:sdtPr>
        <w:sdtEndPr/>
        <w:sdtContent>
          <w:r w:rsidR="00D54D86" w:rsidRPr="00C61B16">
            <w:rPr>
              <w:rFonts w:ascii="MS Gothic" w:eastAsia="MS Gothic" w:hAnsi="MS Gothic" w:hint="eastAsia"/>
              <w:color w:val="000000" w:themeColor="text1"/>
            </w:rPr>
            <w:t>☐</w:t>
          </w:r>
        </w:sdtContent>
      </w:sdt>
      <w:r w:rsidR="00D54D86" w:rsidRPr="009A7D6E">
        <w:t xml:space="preserve"> </w:t>
      </w:r>
      <w:r w:rsidR="00A304F2" w:rsidRPr="009A7D6E">
        <w:t>Rationale for Treatment</w:t>
      </w:r>
    </w:p>
    <w:p w14:paraId="6BEBF30C" w14:textId="0ABA6757" w:rsidR="00A304F2" w:rsidRDefault="002A5931" w:rsidP="003E6FBB">
      <w:pPr>
        <w:pStyle w:val="TEXT"/>
      </w:pPr>
      <w:r>
        <w:t xml:space="preserve">I believe that treatment of </w:t>
      </w:r>
      <w:r>
        <w:rPr>
          <w:b/>
          <w:bCs/>
        </w:rPr>
        <w:t xml:space="preserve">[insert patient name] </w:t>
      </w:r>
      <w:r>
        <w:t>with SILIQ is appropriate and medically necessary.</w:t>
      </w:r>
      <w:r w:rsidR="00103979">
        <w:t xml:space="preserve"> </w:t>
      </w:r>
      <w:r w:rsidR="00103979" w:rsidRPr="00103979">
        <w:t xml:space="preserve">Please reference the clinical peer-reviewed literature and package insert that support SILIQ </w:t>
      </w:r>
      <w:r w:rsidR="004D0784">
        <w:t>a</w:t>
      </w:r>
      <w:r w:rsidR="00103979" w:rsidRPr="00103979">
        <w:t xml:space="preserve">s </w:t>
      </w:r>
      <w:r w:rsidR="00023E1A">
        <w:t>an</w:t>
      </w:r>
      <w:r w:rsidR="00103979" w:rsidRPr="00103979">
        <w:t xml:space="preserve"> appropriate therapy. In addition, my primary rationale for treatment with SILIQ is that it works differently that other products in the IL-17 class.</w:t>
      </w:r>
    </w:p>
    <w:p w14:paraId="37EF9A79" w14:textId="14172DDB" w:rsidR="00D54D86" w:rsidRDefault="00054DDB" w:rsidP="003E6FBB">
      <w:pPr>
        <w:pStyle w:val="TEXT"/>
        <w:rPr>
          <w:rFonts w:eastAsia="Calibri"/>
          <w:b/>
          <w:bCs/>
          <w:color w:val="000000"/>
          <w:szCs w:val="18"/>
        </w:rPr>
      </w:pPr>
      <w:sdt>
        <w:sdtPr>
          <w:rPr>
            <w:color w:val="FF0000"/>
          </w:rPr>
          <w:id w:val="-880319482"/>
        </w:sdtPr>
        <w:sdtEndPr/>
        <w:sdtContent>
          <w:r w:rsidR="00D54D86" w:rsidRPr="00C61B16">
            <w:rPr>
              <w:rFonts w:ascii="MS Gothic" w:eastAsia="MS Gothic" w:hAnsi="MS Gothic" w:hint="eastAsia"/>
              <w:b/>
              <w:color w:val="000000" w:themeColor="text1"/>
            </w:rPr>
            <w:t>☐</w:t>
          </w:r>
        </w:sdtContent>
      </w:sdt>
      <w:r w:rsidR="00D54D86">
        <w:rPr>
          <w:color w:val="FF0000"/>
        </w:rPr>
        <w:t xml:space="preserve"> </w:t>
      </w:r>
      <w:r w:rsidR="00D54D86" w:rsidRPr="00D54D86">
        <w:rPr>
          <w:rFonts w:eastAsia="Calibri"/>
          <w:b/>
          <w:bCs/>
          <w:color w:val="000000"/>
          <w:szCs w:val="18"/>
        </w:rPr>
        <w:t>Mechanism of Action</w:t>
      </w:r>
    </w:p>
    <w:p w14:paraId="552B0D34" w14:textId="29C0EE3F" w:rsidR="00C2025E" w:rsidRPr="002D4A19" w:rsidRDefault="00C2025E" w:rsidP="00C2025E">
      <w:pPr>
        <w:pStyle w:val="TEXT"/>
      </w:pPr>
      <w:r w:rsidRPr="002D4A19">
        <w:t>SILIQ is the only commercially available drug that is an IL-17RA blocker. SILIQ is a human monoclonal IgG2 antibody and the only treatment option that selectively binds to human IL-17RA subtype with high affinity and inhibits its interactions with cytokines IL-17A, IL-17F, IL-17C. IL-17A/F heterodimer, and IL-25 to inhibit the release of pro-inflammatory cytokines and chemokines</w:t>
      </w:r>
      <w:r w:rsidR="002D4A19">
        <w:rPr>
          <w:vertAlign w:val="superscript"/>
        </w:rPr>
        <w:t>1,2</w:t>
      </w:r>
      <w:r w:rsidR="002D4A19">
        <w:t>.</w:t>
      </w:r>
    </w:p>
    <w:p w14:paraId="5F0A1430" w14:textId="5F548106" w:rsidR="003D0238" w:rsidRPr="00B548B1" w:rsidRDefault="0011743F" w:rsidP="002D4A19">
      <w:pPr>
        <w:pStyle w:val="TEXT"/>
        <w:numPr>
          <w:ilvl w:val="0"/>
          <w:numId w:val="3"/>
        </w:numPr>
        <w:rPr>
          <w:sz w:val="18"/>
          <w:szCs w:val="18"/>
        </w:rPr>
      </w:pPr>
      <w:r w:rsidRPr="00B548B1">
        <w:rPr>
          <w:sz w:val="18"/>
          <w:szCs w:val="18"/>
        </w:rPr>
        <w:t>National Psoriasis Foundation website. Biologics. Accessed June 21, 2022.</w:t>
      </w:r>
      <w:r w:rsidR="002D4A19" w:rsidRPr="00B548B1">
        <w:rPr>
          <w:sz w:val="18"/>
          <w:szCs w:val="18"/>
        </w:rPr>
        <w:t xml:space="preserve"> </w:t>
      </w:r>
      <w:hyperlink r:id="rId10" w:history="1">
        <w:r w:rsidR="009E13BB" w:rsidRPr="00B548B1">
          <w:rPr>
            <w:rStyle w:val="Hyperlink"/>
            <w:sz w:val="18"/>
            <w:szCs w:val="18"/>
          </w:rPr>
          <w:t>https://www.psoriasis.org/biologics/</w:t>
        </w:r>
      </w:hyperlink>
    </w:p>
    <w:p w14:paraId="3F274A3B" w14:textId="2A0D09A9" w:rsidR="0011743F" w:rsidRPr="00B548B1" w:rsidRDefault="0011743F" w:rsidP="0011743F">
      <w:pPr>
        <w:pStyle w:val="TEXT"/>
        <w:numPr>
          <w:ilvl w:val="0"/>
          <w:numId w:val="3"/>
        </w:numPr>
        <w:rPr>
          <w:sz w:val="18"/>
          <w:szCs w:val="18"/>
        </w:rPr>
      </w:pPr>
      <w:r w:rsidRPr="00B548B1">
        <w:rPr>
          <w:sz w:val="18"/>
          <w:szCs w:val="18"/>
        </w:rPr>
        <w:t xml:space="preserve">SILIQ [prescribing information]. Bridgewater, NJ: Bausch Health US, LLC. </w:t>
      </w:r>
    </w:p>
    <w:p w14:paraId="206DBC9D" w14:textId="7857D74A" w:rsidR="00D54D86" w:rsidRDefault="00054DDB" w:rsidP="003E6FBB">
      <w:pPr>
        <w:pStyle w:val="TEXT"/>
      </w:pPr>
      <w:sdt>
        <w:sdtPr>
          <w:rPr>
            <w:color w:val="FF0000"/>
          </w:rPr>
          <w:id w:val="-611891376"/>
        </w:sdtPr>
        <w:sdtEndPr/>
        <w:sdtContent>
          <w:r w:rsidR="00D54D86" w:rsidRPr="00C61B16">
            <w:rPr>
              <w:rFonts w:ascii="MS Gothic" w:eastAsia="MS Gothic" w:hAnsi="MS Gothic" w:hint="eastAsia"/>
              <w:b/>
              <w:color w:val="000000" w:themeColor="text1"/>
            </w:rPr>
            <w:t>☐</w:t>
          </w:r>
        </w:sdtContent>
      </w:sdt>
      <w:r w:rsidR="00D54D86">
        <w:rPr>
          <w:color w:val="FF0000"/>
        </w:rPr>
        <w:t xml:space="preserve"> </w:t>
      </w:r>
      <w:r w:rsidR="00300CA4">
        <w:rPr>
          <w:rFonts w:eastAsia="Calibri"/>
          <w:b/>
          <w:bCs/>
          <w:color w:val="000000"/>
          <w:szCs w:val="18"/>
        </w:rPr>
        <w:t>SILIQ R</w:t>
      </w:r>
      <w:r w:rsidR="00D54D86">
        <w:rPr>
          <w:rFonts w:eastAsia="Calibri"/>
          <w:b/>
          <w:bCs/>
          <w:color w:val="000000"/>
          <w:szCs w:val="18"/>
        </w:rPr>
        <w:t xml:space="preserve">escue Data </w:t>
      </w:r>
    </w:p>
    <w:p w14:paraId="4FAD5F8C" w14:textId="77777777" w:rsidR="009E13BB" w:rsidRDefault="00D54D86" w:rsidP="003E6FBB">
      <w:pPr>
        <w:pStyle w:val="TEXT"/>
      </w:pPr>
      <w:r>
        <w:t>SILIQ is the only biologic that has rescue data in all three classes</w:t>
      </w:r>
      <w:r w:rsidR="00EC4126">
        <w:t xml:space="preserve">. </w:t>
      </w:r>
    </w:p>
    <w:p w14:paraId="52738615" w14:textId="39FF6161" w:rsidR="00A5776A" w:rsidRDefault="009E13BB" w:rsidP="00007FD2">
      <w:pPr>
        <w:pStyle w:val="TEXT"/>
      </w:pPr>
      <w:r>
        <w:t xml:space="preserve">In a post-hoc analysis of two phase 3 trials from </w:t>
      </w:r>
      <w:r w:rsidR="0074026B">
        <w:t>the subgroup of patients</w:t>
      </w:r>
      <w:r w:rsidR="00F50AC5">
        <w:t xml:space="preserve"> who reported failing on TNF-alpha inhibitor therapy</w:t>
      </w:r>
      <w:r w:rsidR="00D35CC6">
        <w:t xml:space="preserve"> </w:t>
      </w:r>
      <w:r w:rsidR="00F50AC5">
        <w:t>prior to entering the study (n=150) at week 12, 63% were able to obtain a PASI 90 response, and 32% became totally clear with SILIQ</w:t>
      </w:r>
      <w:r w:rsidR="00F50AC5">
        <w:rPr>
          <w:vertAlign w:val="superscript"/>
        </w:rPr>
        <w:t>3</w:t>
      </w:r>
      <w:r w:rsidR="00F50AC5">
        <w:t>.</w:t>
      </w:r>
      <w:r w:rsidR="0074026B">
        <w:t xml:space="preserve"> </w:t>
      </w:r>
      <w:r w:rsidR="00A5776A">
        <w:t>Treatment failure was defined as either a primary (lack of efficacy) or secondary (loss of efficacy) failure or</w:t>
      </w:r>
      <w:r w:rsidR="00FF2C0B">
        <w:t xml:space="preserve"> </w:t>
      </w:r>
      <w:r w:rsidR="00A5776A">
        <w:t>the development of an intol</w:t>
      </w:r>
      <w:r w:rsidR="00FF2C0B">
        <w:t xml:space="preserve">erance to the biologic agent. </w:t>
      </w:r>
    </w:p>
    <w:p w14:paraId="372737A9" w14:textId="03F73F24" w:rsidR="00FD4188" w:rsidRDefault="00FF2C0B" w:rsidP="003E6FBB">
      <w:pPr>
        <w:pStyle w:val="TEXT"/>
      </w:pPr>
      <w:r>
        <w:t xml:space="preserve">Data from an open-label study of 39 patients at three sites who had previously failed treatment with ixekizumab (N=19; 49%) or secukinumab (N=16; 41%). Failure was defined </w:t>
      </w:r>
      <w:r w:rsidR="00347EAF">
        <w:t>as not achieving 75% clearance after 3 months of treatment or a 50% loss of original improvement. Among those patients, at week 16, 44% were able to obtain 90% clearance with SILIQ, and 28% were able to obtain total clearance</w:t>
      </w:r>
      <w:r w:rsidR="005E012F">
        <w:rPr>
          <w:vertAlign w:val="superscript"/>
        </w:rPr>
        <w:t>4</w:t>
      </w:r>
      <w:r w:rsidR="00347EAF">
        <w:t xml:space="preserve">. </w:t>
      </w:r>
    </w:p>
    <w:p w14:paraId="0E490EF6" w14:textId="69A98CD7" w:rsidR="00F2731F" w:rsidRPr="00882A57" w:rsidRDefault="005E012F" w:rsidP="003E6FBB">
      <w:pPr>
        <w:pStyle w:val="TEXT"/>
      </w:pPr>
      <w:r>
        <w:t>In a post-hoc analysis of pooled data from</w:t>
      </w:r>
      <w:r w:rsidR="00F77993">
        <w:t xml:space="preserve"> two Phase 3 studies (</w:t>
      </w:r>
      <w:r w:rsidR="003C7F44">
        <w:t>AMAGINE-2 and AMAGINE-3</w:t>
      </w:r>
      <w:r w:rsidR="00F77993">
        <w:t>) from the subgroup of patients who failed on ustekinumab and then switched to SILIQ (N=124), 58% reached PASI 90 by week 52, while 36% reached PASI 100 by week 5</w:t>
      </w:r>
      <w:r w:rsidR="00B548B1">
        <w:t xml:space="preserve">2. </w:t>
      </w:r>
      <w:r w:rsidR="00882A57">
        <w:t xml:space="preserve">Failure was defined as patients with sPGA score of 3 or greater or persistent </w:t>
      </w:r>
      <w:r w:rsidR="00723CF2">
        <w:t>s</w:t>
      </w:r>
      <w:r w:rsidR="00882A57">
        <w:t xml:space="preserve">PGA score of 2 over a </w:t>
      </w:r>
      <w:r w:rsidR="00882A57">
        <w:rPr>
          <w:u w:val="single"/>
        </w:rPr>
        <w:t>&gt;</w:t>
      </w:r>
      <w:r w:rsidR="00882A57">
        <w:t>4-week period, after at least 16 weeks of treatment with ustekinumab</w:t>
      </w:r>
      <w:r w:rsidR="00882A57">
        <w:rPr>
          <w:vertAlign w:val="superscript"/>
        </w:rPr>
        <w:t>5</w:t>
      </w:r>
      <w:r w:rsidR="00882A57">
        <w:t>.</w:t>
      </w:r>
    </w:p>
    <w:p w14:paraId="682AE551" w14:textId="77777777" w:rsidR="0011743F" w:rsidRPr="00B548B1" w:rsidRDefault="001C55A2" w:rsidP="0011743F">
      <w:pPr>
        <w:pStyle w:val="TEXT"/>
        <w:numPr>
          <w:ilvl w:val="0"/>
          <w:numId w:val="3"/>
        </w:numPr>
        <w:rPr>
          <w:sz w:val="18"/>
          <w:szCs w:val="18"/>
        </w:rPr>
      </w:pPr>
      <w:r w:rsidRPr="00B548B1">
        <w:rPr>
          <w:sz w:val="18"/>
          <w:szCs w:val="18"/>
        </w:rPr>
        <w:t xml:space="preserve">Papp KA et al. </w:t>
      </w:r>
      <w:r w:rsidRPr="00B548B1">
        <w:rPr>
          <w:i/>
          <w:iCs/>
          <w:sz w:val="18"/>
          <w:szCs w:val="18"/>
          <w:lang w:val="da-DK"/>
        </w:rPr>
        <w:t xml:space="preserve">Br J Dermatol. </w:t>
      </w:r>
      <w:r w:rsidRPr="00B548B1">
        <w:rPr>
          <w:sz w:val="18"/>
          <w:szCs w:val="18"/>
          <w:lang w:val="da-DK"/>
        </w:rPr>
        <w:t>2018;179(2):320-328</w:t>
      </w:r>
      <w:r w:rsidR="00150828" w:rsidRPr="00B548B1">
        <w:rPr>
          <w:sz w:val="18"/>
          <w:szCs w:val="18"/>
          <w:lang w:val="da-DK"/>
        </w:rPr>
        <w:t>.</w:t>
      </w:r>
      <w:r w:rsidRPr="00B548B1">
        <w:rPr>
          <w:sz w:val="18"/>
          <w:szCs w:val="18"/>
          <w:lang w:val="da-DK"/>
        </w:rPr>
        <w:t xml:space="preserve"> </w:t>
      </w:r>
    </w:p>
    <w:p w14:paraId="43A4C442" w14:textId="0F01A6D8" w:rsidR="0011743F" w:rsidRPr="00B548B1" w:rsidRDefault="001C55A2" w:rsidP="0011743F">
      <w:pPr>
        <w:pStyle w:val="TEXT"/>
        <w:numPr>
          <w:ilvl w:val="0"/>
          <w:numId w:val="3"/>
        </w:numPr>
        <w:rPr>
          <w:sz w:val="18"/>
          <w:szCs w:val="18"/>
        </w:rPr>
      </w:pPr>
      <w:r w:rsidRPr="00B548B1">
        <w:rPr>
          <w:sz w:val="18"/>
          <w:szCs w:val="18"/>
          <w:lang w:val="da-DK"/>
        </w:rPr>
        <w:t xml:space="preserve">Kimmel G et al. </w:t>
      </w:r>
      <w:r w:rsidRPr="00B548B1">
        <w:rPr>
          <w:i/>
          <w:iCs/>
          <w:sz w:val="18"/>
          <w:szCs w:val="18"/>
          <w:lang w:val="da-DK"/>
        </w:rPr>
        <w:t>J Am Acad</w:t>
      </w:r>
      <w:r w:rsidRPr="00B548B1">
        <w:rPr>
          <w:sz w:val="18"/>
          <w:szCs w:val="18"/>
          <w:lang w:val="da-DK"/>
        </w:rPr>
        <w:t xml:space="preserve">. </w:t>
      </w:r>
      <w:r w:rsidRPr="00B548B1">
        <w:rPr>
          <w:i/>
          <w:iCs/>
          <w:sz w:val="18"/>
          <w:szCs w:val="18"/>
          <w:lang w:val="da-DK"/>
        </w:rPr>
        <w:t>Dermatol</w:t>
      </w:r>
      <w:r w:rsidRPr="00B548B1">
        <w:rPr>
          <w:sz w:val="18"/>
          <w:szCs w:val="18"/>
          <w:lang w:val="da-DK"/>
        </w:rPr>
        <w:t>. 2019;81(3):857-859.</w:t>
      </w:r>
    </w:p>
    <w:p w14:paraId="4C3DAD97" w14:textId="4EB58237" w:rsidR="00150828" w:rsidRPr="00B548B1" w:rsidRDefault="00150828" w:rsidP="0011743F">
      <w:pPr>
        <w:pStyle w:val="TEXT"/>
        <w:numPr>
          <w:ilvl w:val="0"/>
          <w:numId w:val="3"/>
        </w:numPr>
        <w:rPr>
          <w:sz w:val="18"/>
          <w:szCs w:val="18"/>
        </w:rPr>
      </w:pPr>
      <w:r w:rsidRPr="00B548B1">
        <w:rPr>
          <w:sz w:val="18"/>
          <w:szCs w:val="18"/>
        </w:rPr>
        <w:t xml:space="preserve">Langley RG et al. </w:t>
      </w:r>
      <w:r w:rsidRPr="00B548B1">
        <w:rPr>
          <w:i/>
          <w:iCs/>
          <w:sz w:val="18"/>
          <w:szCs w:val="18"/>
          <w:lang w:val="da-DK"/>
        </w:rPr>
        <w:t>Br J Dermatol</w:t>
      </w:r>
      <w:r w:rsidRPr="00B548B1">
        <w:rPr>
          <w:sz w:val="18"/>
          <w:szCs w:val="18"/>
          <w:lang w:val="da-DK"/>
        </w:rPr>
        <w:t>. 2019;180:255-256.</w:t>
      </w:r>
    </w:p>
    <w:p w14:paraId="3CE57A0A" w14:textId="4D996D61" w:rsidR="00AD527F" w:rsidRDefault="00AD527F" w:rsidP="003E6FBB">
      <w:pPr>
        <w:pStyle w:val="TEXT"/>
        <w:rPr>
          <w:noProof/>
        </w:rPr>
      </w:pPr>
    </w:p>
    <w:p w14:paraId="12AA3044" w14:textId="77777777" w:rsidR="003A4F6D" w:rsidRPr="00710983" w:rsidRDefault="003A4F6D" w:rsidP="003E6FBB">
      <w:pPr>
        <w:pStyle w:val="TEXT"/>
        <w:rPr>
          <w:noProof/>
        </w:rPr>
      </w:pPr>
    </w:p>
    <w:p w14:paraId="1081027A" w14:textId="5A0BBB31" w:rsidR="00AD527F" w:rsidRDefault="00054DDB" w:rsidP="00AD527F">
      <w:pPr>
        <w:pStyle w:val="TEXT"/>
      </w:pPr>
      <w:sdt>
        <w:sdtPr>
          <w:rPr>
            <w:color w:val="FF0000"/>
          </w:rPr>
          <w:id w:val="-924181980"/>
        </w:sdtPr>
        <w:sdtEndPr/>
        <w:sdtContent>
          <w:r w:rsidR="00AD527F" w:rsidRPr="00C61B16">
            <w:rPr>
              <w:rFonts w:ascii="MS Gothic" w:eastAsia="MS Gothic" w:hAnsi="MS Gothic" w:hint="eastAsia"/>
              <w:b/>
              <w:color w:val="000000" w:themeColor="text1"/>
            </w:rPr>
            <w:t>☐</w:t>
          </w:r>
        </w:sdtContent>
      </w:sdt>
      <w:r w:rsidR="00AD527F">
        <w:rPr>
          <w:color w:val="FF0000"/>
        </w:rPr>
        <w:t xml:space="preserve"> </w:t>
      </w:r>
      <w:r w:rsidR="00AD527F">
        <w:rPr>
          <w:rFonts w:eastAsia="Calibri"/>
          <w:b/>
          <w:bCs/>
          <w:color w:val="000000"/>
          <w:szCs w:val="18"/>
        </w:rPr>
        <w:t xml:space="preserve">SILIQ Recapture Data </w:t>
      </w:r>
    </w:p>
    <w:p w14:paraId="4E887822" w14:textId="0A08120C" w:rsidR="00AD527F" w:rsidRPr="002B6D72" w:rsidRDefault="00E70AFA" w:rsidP="00AD527F">
      <w:pPr>
        <w:pStyle w:val="TEXT"/>
        <w:rPr>
          <w:noProof/>
        </w:rPr>
      </w:pPr>
      <w:r>
        <w:t xml:space="preserve">AMAGINE-1 was a phase 3 study in </w:t>
      </w:r>
      <w:r w:rsidR="00CE3B77">
        <w:t xml:space="preserve">which patients </w:t>
      </w:r>
      <w:r w:rsidR="00063B7D">
        <w:t>initially treated with brodalumab and then placebo were eligible t</w:t>
      </w:r>
      <w:r w:rsidR="00BE20B9">
        <w:t>o return to brodalumab</w:t>
      </w:r>
      <w:r w:rsidR="002B6D72">
        <w:t xml:space="preserve"> if disease returned (sPGA</w:t>
      </w:r>
      <w:r w:rsidR="002B6D72">
        <w:rPr>
          <w:u w:val="single"/>
        </w:rPr>
        <w:t>&gt;</w:t>
      </w:r>
      <w:r w:rsidR="002B6D72">
        <w:t xml:space="preserve">3) any time after Week 16. </w:t>
      </w:r>
      <w:r w:rsidR="00233461">
        <w:t xml:space="preserve">The average time for the disease to return </w:t>
      </w:r>
      <w:r w:rsidR="00E46426">
        <w:t>after stopping SILIQ was 75 days, with the median time being 56 days. Nearly all patients were able to recapture their previous level of efficacy within 24 weeks of restarting SILIQ</w:t>
      </w:r>
      <w:r w:rsidR="00A154C9">
        <w:rPr>
          <w:vertAlign w:val="superscript"/>
        </w:rPr>
        <w:t>6,7</w:t>
      </w:r>
      <w:r w:rsidR="00E46426">
        <w:t xml:space="preserve">. </w:t>
      </w:r>
    </w:p>
    <w:p w14:paraId="04363A36" w14:textId="588A179A" w:rsidR="0011743F" w:rsidRPr="00360724" w:rsidRDefault="00A154C9" w:rsidP="00A154C9">
      <w:pPr>
        <w:pStyle w:val="TEXT"/>
        <w:numPr>
          <w:ilvl w:val="0"/>
          <w:numId w:val="3"/>
        </w:numPr>
        <w:rPr>
          <w:noProof/>
          <w:sz w:val="18"/>
          <w:szCs w:val="18"/>
        </w:rPr>
      </w:pPr>
      <w:r w:rsidRPr="00360724">
        <w:rPr>
          <w:noProof/>
          <w:sz w:val="18"/>
          <w:szCs w:val="18"/>
        </w:rPr>
        <w:t>Data on file (AMAGINE-1).</w:t>
      </w:r>
    </w:p>
    <w:p w14:paraId="69F1C1B6" w14:textId="5B561A10" w:rsidR="0011743F" w:rsidRPr="00360724" w:rsidRDefault="00A154C9" w:rsidP="003E6FBB">
      <w:pPr>
        <w:pStyle w:val="TEXT"/>
        <w:numPr>
          <w:ilvl w:val="0"/>
          <w:numId w:val="3"/>
        </w:numPr>
        <w:rPr>
          <w:noProof/>
          <w:sz w:val="18"/>
          <w:szCs w:val="18"/>
        </w:rPr>
      </w:pPr>
      <w:r w:rsidRPr="00360724">
        <w:rPr>
          <w:noProof/>
          <w:sz w:val="18"/>
          <w:szCs w:val="18"/>
        </w:rPr>
        <w:t xml:space="preserve">Papp KA et al. </w:t>
      </w:r>
      <w:r w:rsidRPr="00360724">
        <w:rPr>
          <w:i/>
          <w:iCs/>
          <w:noProof/>
          <w:sz w:val="18"/>
          <w:szCs w:val="18"/>
        </w:rPr>
        <w:t>Br J Dermatol</w:t>
      </w:r>
      <w:r w:rsidRPr="00360724">
        <w:rPr>
          <w:noProof/>
          <w:sz w:val="18"/>
          <w:szCs w:val="18"/>
        </w:rPr>
        <w:t>. 2016;175:273-286.</w:t>
      </w:r>
    </w:p>
    <w:p w14:paraId="6ADC9029" w14:textId="603BC6F4" w:rsidR="000F3E7B" w:rsidRDefault="00054DDB" w:rsidP="003E6FBB">
      <w:pPr>
        <w:pStyle w:val="TEXT"/>
      </w:pPr>
      <w:sdt>
        <w:sdtPr>
          <w:rPr>
            <w:color w:val="FF0000"/>
          </w:rPr>
          <w:id w:val="1428612878"/>
        </w:sdtPr>
        <w:sdtEndPr/>
        <w:sdtContent>
          <w:r w:rsidR="000F3E7B" w:rsidRPr="00C61B16">
            <w:rPr>
              <w:rFonts w:ascii="MS Gothic" w:eastAsia="MS Gothic" w:hAnsi="MS Gothic" w:hint="eastAsia"/>
              <w:b/>
              <w:color w:val="000000" w:themeColor="text1"/>
            </w:rPr>
            <w:t>☐</w:t>
          </w:r>
        </w:sdtContent>
      </w:sdt>
      <w:r w:rsidR="000F3E7B">
        <w:rPr>
          <w:color w:val="FF0000"/>
        </w:rPr>
        <w:t xml:space="preserve"> </w:t>
      </w:r>
      <w:r w:rsidR="000F3E7B">
        <w:rPr>
          <w:rFonts w:eastAsia="Calibri"/>
          <w:b/>
          <w:bCs/>
          <w:color w:val="000000"/>
          <w:szCs w:val="18"/>
        </w:rPr>
        <w:t xml:space="preserve">SILIQ </w:t>
      </w:r>
      <w:r w:rsidR="003A4F6D">
        <w:rPr>
          <w:rFonts w:eastAsia="Calibri"/>
          <w:b/>
          <w:bCs/>
          <w:color w:val="000000"/>
          <w:szCs w:val="18"/>
        </w:rPr>
        <w:t>Long-Term</w:t>
      </w:r>
      <w:r w:rsidR="000F3E7B">
        <w:rPr>
          <w:rFonts w:eastAsia="Calibri"/>
          <w:b/>
          <w:bCs/>
          <w:color w:val="000000"/>
          <w:szCs w:val="18"/>
        </w:rPr>
        <w:t xml:space="preserve"> Data  </w:t>
      </w:r>
    </w:p>
    <w:p w14:paraId="39E09576" w14:textId="0FB5BD71" w:rsidR="00360724" w:rsidRDefault="007C74B3" w:rsidP="003E6FBB">
      <w:pPr>
        <w:pStyle w:val="TEXT"/>
      </w:pPr>
      <w:r>
        <w:rPr>
          <w:noProof/>
        </w:rPr>
        <w:drawing>
          <wp:inline distT="0" distB="0" distL="0" distR="0" wp14:anchorId="4A315C89" wp14:editId="0FE558C0">
            <wp:extent cx="6446520" cy="2687955"/>
            <wp:effectExtent l="0" t="0" r="0" b="0"/>
            <wp:docPr id="1" name="Picture 1" descr="A picture containing screenshot, cartoon, graphics, 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creenshot, cartoon, graphics, art&#10;&#10;Description automatically generated"/>
                    <pic:cNvPicPr/>
                  </pic:nvPicPr>
                  <pic:blipFill>
                    <a:blip r:embed="rId11"/>
                    <a:stretch>
                      <a:fillRect/>
                    </a:stretch>
                  </pic:blipFill>
                  <pic:spPr>
                    <a:xfrm>
                      <a:off x="0" y="0"/>
                      <a:ext cx="6446520" cy="2687955"/>
                    </a:xfrm>
                    <a:prstGeom prst="rect">
                      <a:avLst/>
                    </a:prstGeom>
                  </pic:spPr>
                </pic:pic>
              </a:graphicData>
            </a:graphic>
          </wp:inline>
        </w:drawing>
      </w:r>
    </w:p>
    <w:p w14:paraId="4FB927DF" w14:textId="2C3C5DCD" w:rsidR="009C6BF5" w:rsidRPr="003E53B5" w:rsidRDefault="003E53B5" w:rsidP="003E53B5">
      <w:pPr>
        <w:pStyle w:val="TEXT"/>
        <w:ind w:firstLine="720"/>
        <w:rPr>
          <w:sz w:val="16"/>
          <w:szCs w:val="16"/>
        </w:rPr>
      </w:pPr>
      <w:r>
        <w:rPr>
          <w:sz w:val="16"/>
          <w:szCs w:val="16"/>
        </w:rPr>
        <w:t xml:space="preserve">     </w:t>
      </w:r>
      <w:r w:rsidR="009C6BF5" w:rsidRPr="003E53B5">
        <w:rPr>
          <w:sz w:val="16"/>
          <w:szCs w:val="16"/>
        </w:rPr>
        <w:t>*</w:t>
      </w:r>
      <w:r w:rsidR="00BF0283" w:rsidRPr="003E53B5">
        <w:rPr>
          <w:sz w:val="16"/>
          <w:szCs w:val="16"/>
        </w:rPr>
        <w:t>Results were not key study endpoints and were considered observational only, which limits their applicability.</w:t>
      </w:r>
      <w:r w:rsidR="009C6BF5" w:rsidRPr="003E53B5">
        <w:rPr>
          <w:sz w:val="16"/>
          <w:szCs w:val="16"/>
        </w:rPr>
        <w:t xml:space="preserve"> </w:t>
      </w:r>
    </w:p>
    <w:p w14:paraId="7BAAA32C" w14:textId="77777777" w:rsidR="002B2C25" w:rsidRDefault="002B2C25" w:rsidP="003E6FBB">
      <w:pPr>
        <w:pStyle w:val="TEXT"/>
      </w:pPr>
    </w:p>
    <w:p w14:paraId="55D80360" w14:textId="344C229E" w:rsidR="00A304F2" w:rsidRDefault="00CA1B32" w:rsidP="003E6FBB">
      <w:pPr>
        <w:pStyle w:val="TEXT"/>
      </w:pPr>
      <w:r>
        <w:t xml:space="preserve">Additional important safety information about SILIQ and link to the full Prescribing Information is provided below. </w:t>
      </w:r>
      <w:r w:rsidR="00A304F2" w:rsidRPr="009A7D6E">
        <w:t>I look forward to receiving your timely response and approval of this claim.</w:t>
      </w:r>
    </w:p>
    <w:p w14:paraId="6D400D6F" w14:textId="77777777" w:rsidR="001344AC" w:rsidRPr="009A7D6E" w:rsidRDefault="001344AC" w:rsidP="003E6FBB">
      <w:pPr>
        <w:pStyle w:val="TEXT"/>
      </w:pPr>
    </w:p>
    <w:p w14:paraId="5B0668FE" w14:textId="77777777" w:rsidR="000A6B2F" w:rsidRPr="00AB196C" w:rsidRDefault="000A6B2F" w:rsidP="000A6B2F">
      <w:pPr>
        <w:pStyle w:val="BOLDTEXT"/>
        <w:spacing w:after="60"/>
        <w:ind w:right="-288"/>
      </w:pPr>
      <w:r w:rsidRPr="00AB196C">
        <w:t xml:space="preserve">Before prescribing SILIQ, please see Boxed Warning about suicidal ideation and behavior below. </w:t>
      </w:r>
    </w:p>
    <w:tbl>
      <w:tblPr>
        <w:tblStyle w:val="TableGrid"/>
        <w:tblW w:w="10080" w:type="dxa"/>
        <w:tblCellMar>
          <w:top w:w="144" w:type="dxa"/>
          <w:left w:w="144" w:type="dxa"/>
          <w:bottom w:w="144" w:type="dxa"/>
          <w:right w:w="144" w:type="dxa"/>
        </w:tblCellMar>
        <w:tblLook w:val="04A0" w:firstRow="1" w:lastRow="0" w:firstColumn="1" w:lastColumn="0" w:noHBand="0" w:noVBand="1"/>
      </w:tblPr>
      <w:tblGrid>
        <w:gridCol w:w="10080"/>
      </w:tblGrid>
      <w:tr w:rsidR="000A6B2F" w14:paraId="50FC34E5" w14:textId="77777777" w:rsidTr="00E13E2E">
        <w:tc>
          <w:tcPr>
            <w:tcW w:w="9180" w:type="dxa"/>
            <w:tcBorders>
              <w:top w:val="single" w:sz="4" w:space="0" w:color="auto"/>
              <w:left w:val="single" w:sz="4" w:space="0" w:color="auto"/>
              <w:bottom w:val="single" w:sz="4" w:space="0" w:color="auto"/>
              <w:right w:val="single" w:sz="4" w:space="0" w:color="auto"/>
            </w:tcBorders>
          </w:tcPr>
          <w:p w14:paraId="198136F9" w14:textId="77777777" w:rsidR="00E13E2E" w:rsidRDefault="00E13E2E" w:rsidP="00E13E2E">
            <w:pPr>
              <w:pStyle w:val="BOLDTEXT"/>
              <w:spacing w:before="0"/>
            </w:pPr>
            <w:r>
              <w:t xml:space="preserve">WARNING: SUICIDAL IDEATION AND BEHAVIOR </w:t>
            </w:r>
          </w:p>
          <w:p w14:paraId="0D26B558" w14:textId="77777777" w:rsidR="00E13E2E" w:rsidRDefault="00E13E2E" w:rsidP="00E13E2E">
            <w:pPr>
              <w:pStyle w:val="BOLDTEXT"/>
              <w:spacing w:before="60"/>
            </w:pPr>
            <w:r>
              <w:t xml:space="preserve">Suicidal ideation and behavior, including completed suicides, have occurred in patients treated </w:t>
            </w:r>
            <w:r>
              <w:br/>
              <w:t xml:space="preserve">with SILIQ. Prior to prescribing SILIQ, weigh the potential risks and benefits in patients with a history </w:t>
            </w:r>
            <w:r>
              <w:br/>
              <w:t xml:space="preserve">of depression and/or suicidal ideation or behavior. Patients with new or worsening suicidal ideation </w:t>
            </w:r>
            <w:r>
              <w:br/>
              <w:t xml:space="preserve">and behavior should be referred to a mental health professional, as appropriate. Advise patients and caregivers to seek medical attention for manifestations of suicidal ideation or behavior, new onset or worsening depression, anxiety, or other mood changes [see Warnings and Precautions in the </w:t>
            </w:r>
            <w:proofErr w:type="gramStart"/>
            <w:r>
              <w:t>full</w:t>
            </w:r>
            <w:proofErr w:type="gramEnd"/>
            <w:r>
              <w:t xml:space="preserve"> Prescribing Information]. </w:t>
            </w:r>
          </w:p>
          <w:p w14:paraId="4B31CFC2" w14:textId="3A1F9064" w:rsidR="000A6B2F" w:rsidRDefault="00E13E2E" w:rsidP="00E13E2E">
            <w:pPr>
              <w:pStyle w:val="BOLDTEXT"/>
              <w:spacing w:before="60"/>
              <w:rPr>
                <w:sz w:val="18"/>
                <w:szCs w:val="16"/>
              </w:rPr>
            </w:pPr>
            <w:r>
              <w:t xml:space="preserve">Because of the observed suicidal behavior in subjects treated with SILIQ, SILIQ is available only </w:t>
            </w:r>
            <w:r>
              <w:br/>
              <w:t xml:space="preserve">through a restricted program under a Risk Evaluation and Mitigation Strategy (REMS) called the </w:t>
            </w:r>
            <w:r>
              <w:br/>
              <w:t xml:space="preserve">SILIQ REMS Program [see Warnings and Precautions in the </w:t>
            </w:r>
            <w:proofErr w:type="gramStart"/>
            <w:r>
              <w:t>full</w:t>
            </w:r>
            <w:proofErr w:type="gramEnd"/>
            <w:r>
              <w:t xml:space="preserve"> Prescribing Information].</w:t>
            </w:r>
            <w:r>
              <w:rPr>
                <w:szCs w:val="16"/>
              </w:rPr>
              <w:t xml:space="preserve">  </w:t>
            </w:r>
          </w:p>
        </w:tc>
      </w:tr>
    </w:tbl>
    <w:p w14:paraId="768612D9" w14:textId="0D85C87F" w:rsidR="007E0981" w:rsidRPr="009A7D6E" w:rsidRDefault="000A6B2F" w:rsidP="000A6B2F">
      <w:pPr>
        <w:pStyle w:val="BOLDTEXT"/>
        <w:rPr>
          <w:szCs w:val="20"/>
        </w:rPr>
      </w:pPr>
      <w:r>
        <w:t xml:space="preserve">For full Prescribing Information, </w:t>
      </w:r>
      <w:hyperlink r:id="rId12" w:history="1">
        <w:r w:rsidR="00D35CC6" w:rsidRPr="00DC4BD2">
          <w:rPr>
            <w:rStyle w:val="Hyperlink"/>
          </w:rPr>
          <w:t>click here</w:t>
        </w:r>
      </w:hyperlink>
      <w:r w:rsidR="00DC4BD2">
        <w:t xml:space="preserve"> o</w:t>
      </w:r>
      <w:r>
        <w:t xml:space="preserve">r call Medical Information at (877) 361-2719 to request </w:t>
      </w:r>
      <w:r w:rsidR="00E365EB">
        <w:br/>
      </w:r>
      <w:r>
        <w:t>that it be faxed, emailed or mailed instead.</w:t>
      </w:r>
    </w:p>
    <w:p w14:paraId="108E10FC" w14:textId="5F2FCC03" w:rsidR="00A304F2" w:rsidRPr="00652980" w:rsidRDefault="00A304F2" w:rsidP="00CE4075">
      <w:pPr>
        <w:pStyle w:val="TEXT"/>
        <w:spacing w:before="160"/>
      </w:pPr>
      <w:r w:rsidRPr="009A7D6E">
        <w:t>Sincerely,</w:t>
      </w:r>
      <w:r w:rsidR="00652980">
        <w:br/>
      </w:r>
      <w:r w:rsidR="00652980">
        <w:rPr>
          <w:b/>
        </w:rPr>
        <w:t>[</w:t>
      </w:r>
      <w:r w:rsidR="007E0981" w:rsidRPr="009A7D6E">
        <w:rPr>
          <w:b/>
        </w:rPr>
        <w:t xml:space="preserve">Insert </w:t>
      </w:r>
      <w:r w:rsidR="005E673E">
        <w:rPr>
          <w:b/>
        </w:rPr>
        <w:t>Physician</w:t>
      </w:r>
      <w:r w:rsidR="007E0981" w:rsidRPr="009A7D6E">
        <w:rPr>
          <w:b/>
        </w:rPr>
        <w:t xml:space="preserve"> N</w:t>
      </w:r>
      <w:r w:rsidRPr="009A7D6E">
        <w:rPr>
          <w:b/>
        </w:rPr>
        <w:t xml:space="preserve">ame and </w:t>
      </w:r>
      <w:r w:rsidR="005E673E">
        <w:rPr>
          <w:b/>
        </w:rPr>
        <w:t>P</w:t>
      </w:r>
      <w:r w:rsidRPr="009A7D6E">
        <w:rPr>
          <w:b/>
        </w:rPr>
        <w:t>articipating</w:t>
      </w:r>
      <w:r w:rsidR="00917AC6" w:rsidRPr="009A7D6E">
        <w:rPr>
          <w:b/>
        </w:rPr>
        <w:t xml:space="preserve"> </w:t>
      </w:r>
      <w:r w:rsidR="005E673E">
        <w:rPr>
          <w:b/>
        </w:rPr>
        <w:t>P</w:t>
      </w:r>
      <w:r w:rsidRPr="009A7D6E">
        <w:rPr>
          <w:b/>
        </w:rPr>
        <w:t xml:space="preserve">rovider </w:t>
      </w:r>
      <w:r w:rsidR="005E673E">
        <w:rPr>
          <w:b/>
        </w:rPr>
        <w:t>N</w:t>
      </w:r>
      <w:r w:rsidRPr="009A7D6E">
        <w:rPr>
          <w:b/>
        </w:rPr>
        <w:t>umber]</w:t>
      </w:r>
    </w:p>
    <w:p w14:paraId="352E5AA8" w14:textId="77777777" w:rsidR="00474F9F" w:rsidRDefault="00A304F2" w:rsidP="00652980">
      <w:pPr>
        <w:pStyle w:val="TEXT"/>
      </w:pPr>
      <w:r w:rsidRPr="009A7D6E">
        <w:t>Enclosures</w:t>
      </w:r>
    </w:p>
    <w:p w14:paraId="52DB08E7" w14:textId="63D32635" w:rsidR="00EB526D" w:rsidRPr="00EB526D" w:rsidRDefault="00EB526D" w:rsidP="00010CD8">
      <w:pPr>
        <w:tabs>
          <w:tab w:val="left" w:pos="3300"/>
        </w:tabs>
        <w:jc w:val="center"/>
      </w:pPr>
    </w:p>
    <w:sectPr w:rsidR="00EB526D" w:rsidRPr="00EB526D" w:rsidSect="00885038">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008" w:right="1008" w:bottom="720" w:left="1080" w:header="475" w:footer="475"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E0D03" w14:textId="77777777" w:rsidR="00C730B9" w:rsidRDefault="00C730B9" w:rsidP="002E68C9">
      <w:pPr>
        <w:spacing w:after="0" w:line="240" w:lineRule="auto"/>
      </w:pPr>
      <w:r>
        <w:separator/>
      </w:r>
    </w:p>
  </w:endnote>
  <w:endnote w:type="continuationSeparator" w:id="0">
    <w:p w14:paraId="5643E784" w14:textId="77777777" w:rsidR="00C730B9" w:rsidRDefault="00C730B9" w:rsidP="002E6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3F25A" w14:textId="77777777" w:rsidR="00010CD8" w:rsidRDefault="00010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FBE51" w14:textId="5B2757BD" w:rsidR="00A451B1" w:rsidRPr="00A451B1" w:rsidRDefault="00952A27" w:rsidP="00A451B1">
    <w:pPr>
      <w:widowControl w:val="0"/>
      <w:tabs>
        <w:tab w:val="left" w:pos="5940"/>
        <w:tab w:val="right" w:pos="10170"/>
      </w:tabs>
      <w:autoSpaceDE w:val="0"/>
      <w:autoSpaceDN w:val="0"/>
      <w:adjustRightInd w:val="0"/>
      <w:spacing w:after="0" w:line="240" w:lineRule="auto"/>
      <w:ind w:right="-20"/>
      <w:rPr>
        <w:rFonts w:ascii="Arial" w:hAnsi="Arial" w:cs="Arial"/>
        <w:sz w:val="16"/>
        <w:szCs w:val="16"/>
      </w:rPr>
    </w:pPr>
    <w:r>
      <w:rPr>
        <w:rFonts w:ascii="Arial" w:hAnsi="Arial" w:cs="Arial"/>
        <w:sz w:val="16"/>
        <w:szCs w:val="16"/>
      </w:rPr>
      <w:t>SILIQ is a</w:t>
    </w:r>
    <w:r w:rsidR="00A451B1" w:rsidRPr="00A451B1">
      <w:rPr>
        <w:rFonts w:ascii="Arial" w:hAnsi="Arial" w:cs="Arial"/>
        <w:sz w:val="16"/>
        <w:szCs w:val="16"/>
      </w:rPr>
      <w:t xml:space="preserve"> trademark of Ortho Dermatologics</w:t>
    </w:r>
    <w:r w:rsidR="002B68A0">
      <w:rPr>
        <w:rFonts w:ascii="Arial" w:hAnsi="Arial" w:cs="Arial"/>
        <w:sz w:val="16"/>
        <w:szCs w:val="16"/>
      </w:rPr>
      <w:t>’</w:t>
    </w:r>
    <w:r w:rsidR="00A451B1" w:rsidRPr="00A451B1">
      <w:rPr>
        <w:rFonts w:ascii="Arial" w:hAnsi="Arial" w:cs="Arial"/>
        <w:sz w:val="16"/>
        <w:szCs w:val="16"/>
      </w:rPr>
      <w:t xml:space="preserve"> affiliated entities. </w:t>
    </w:r>
  </w:p>
  <w:p w14:paraId="7824EAE9" w14:textId="6F9CF5B7" w:rsidR="00924809" w:rsidRPr="002E68C9" w:rsidRDefault="00A451B1" w:rsidP="00A451B1">
    <w:pPr>
      <w:widowControl w:val="0"/>
      <w:tabs>
        <w:tab w:val="left" w:pos="5940"/>
        <w:tab w:val="right" w:pos="10170"/>
      </w:tabs>
      <w:autoSpaceDE w:val="0"/>
      <w:autoSpaceDN w:val="0"/>
      <w:adjustRightInd w:val="0"/>
      <w:spacing w:after="0" w:line="240" w:lineRule="auto"/>
      <w:ind w:right="-20"/>
      <w:rPr>
        <w:rFonts w:ascii="Arial" w:hAnsi="Arial" w:cs="Arial"/>
        <w:sz w:val="16"/>
        <w:szCs w:val="20"/>
      </w:rPr>
    </w:pPr>
    <w:r w:rsidRPr="00A451B1">
      <w:rPr>
        <w:rFonts w:ascii="Arial" w:hAnsi="Arial" w:cs="Arial"/>
        <w:sz w:val="16"/>
        <w:szCs w:val="16"/>
      </w:rPr>
      <w:t xml:space="preserve">© </w:t>
    </w:r>
    <w:r w:rsidR="002B68A0">
      <w:rPr>
        <w:rFonts w:ascii="Arial" w:hAnsi="Arial" w:cs="Arial"/>
        <w:sz w:val="16"/>
        <w:szCs w:val="16"/>
      </w:rPr>
      <w:t>20</w:t>
    </w:r>
    <w:r w:rsidR="00EB526D">
      <w:rPr>
        <w:rFonts w:ascii="Arial" w:hAnsi="Arial" w:cs="Arial"/>
        <w:sz w:val="16"/>
        <w:szCs w:val="16"/>
      </w:rPr>
      <w:t>23</w:t>
    </w:r>
    <w:r w:rsidR="002B68A0">
      <w:rPr>
        <w:rFonts w:ascii="Arial" w:hAnsi="Arial" w:cs="Arial"/>
        <w:sz w:val="16"/>
        <w:szCs w:val="16"/>
      </w:rPr>
      <w:t xml:space="preserve"> </w:t>
    </w:r>
    <w:r w:rsidR="002B68A0" w:rsidRPr="00A451B1">
      <w:rPr>
        <w:rFonts w:ascii="Arial" w:hAnsi="Arial" w:cs="Arial"/>
        <w:sz w:val="16"/>
        <w:szCs w:val="16"/>
      </w:rPr>
      <w:t>Ortho Dermatologics</w:t>
    </w:r>
    <w:r w:rsidR="002B68A0">
      <w:rPr>
        <w:rFonts w:ascii="Arial" w:hAnsi="Arial" w:cs="Arial"/>
        <w:sz w:val="16"/>
        <w:szCs w:val="16"/>
      </w:rPr>
      <w:t>’</w:t>
    </w:r>
    <w:r w:rsidR="002B68A0" w:rsidRPr="00A451B1">
      <w:rPr>
        <w:rFonts w:ascii="Arial" w:hAnsi="Arial" w:cs="Arial"/>
        <w:sz w:val="16"/>
        <w:szCs w:val="16"/>
      </w:rPr>
      <w:t xml:space="preserve"> affiliated entities</w:t>
    </w:r>
    <w:r w:rsidR="002B68A0">
      <w:rPr>
        <w:rFonts w:ascii="Arial" w:hAnsi="Arial" w:cs="Arial"/>
        <w:sz w:val="16"/>
        <w:szCs w:val="16"/>
      </w:rPr>
      <w:t>.</w:t>
    </w:r>
    <w:r w:rsidR="00924809" w:rsidRPr="003874FC">
      <w:rPr>
        <w:rFonts w:ascii="Arial" w:hAnsi="Arial" w:cs="Arial"/>
        <w:sz w:val="16"/>
        <w:szCs w:val="20"/>
      </w:rPr>
      <w:tab/>
      <w:t>0</w:t>
    </w:r>
    <w:r w:rsidR="00DF3426">
      <w:rPr>
        <w:rFonts w:ascii="Arial" w:hAnsi="Arial" w:cs="Arial"/>
        <w:sz w:val="16"/>
        <w:szCs w:val="20"/>
      </w:rPr>
      <w:t>6</w:t>
    </w:r>
    <w:r w:rsidR="00924809" w:rsidRPr="003874FC">
      <w:rPr>
        <w:rFonts w:ascii="Arial" w:hAnsi="Arial" w:cs="Arial"/>
        <w:sz w:val="16"/>
        <w:szCs w:val="20"/>
      </w:rPr>
      <w:t>/</w:t>
    </w:r>
    <w:r w:rsidR="00DF3426">
      <w:rPr>
        <w:rFonts w:ascii="Arial" w:hAnsi="Arial" w:cs="Arial"/>
        <w:sz w:val="16"/>
        <w:szCs w:val="20"/>
      </w:rPr>
      <w:t>23</w:t>
    </w:r>
    <w:r w:rsidR="00924809" w:rsidRPr="003874FC">
      <w:rPr>
        <w:rFonts w:ascii="Arial" w:hAnsi="Arial" w:cs="Arial"/>
        <w:sz w:val="16"/>
        <w:szCs w:val="20"/>
      </w:rPr>
      <w:tab/>
    </w:r>
    <w:r w:rsidR="007E0981" w:rsidRPr="003874FC">
      <w:rPr>
        <w:rFonts w:ascii="Arial" w:hAnsi="Arial" w:cs="Arial"/>
        <w:sz w:val="16"/>
        <w:szCs w:val="20"/>
      </w:rPr>
      <w:t>SLQ.</w:t>
    </w:r>
    <w:r w:rsidR="00FC1D9F">
      <w:rPr>
        <w:rFonts w:ascii="Arial" w:hAnsi="Arial" w:cs="Arial"/>
        <w:sz w:val="16"/>
        <w:szCs w:val="20"/>
      </w:rPr>
      <w:t>0</w:t>
    </w:r>
    <w:r w:rsidR="000E2916">
      <w:rPr>
        <w:rFonts w:ascii="Arial" w:hAnsi="Arial" w:cs="Arial"/>
        <w:sz w:val="16"/>
        <w:szCs w:val="20"/>
      </w:rPr>
      <w:t>025.USA.23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BD5A" w14:textId="77777777" w:rsidR="00010CD8" w:rsidRDefault="00010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A9C23" w14:textId="77777777" w:rsidR="00C730B9" w:rsidRDefault="00C730B9" w:rsidP="002E68C9">
      <w:pPr>
        <w:spacing w:after="0" w:line="240" w:lineRule="auto"/>
      </w:pPr>
      <w:r>
        <w:separator/>
      </w:r>
    </w:p>
  </w:footnote>
  <w:footnote w:type="continuationSeparator" w:id="0">
    <w:p w14:paraId="5D0A3373" w14:textId="77777777" w:rsidR="00C730B9" w:rsidRDefault="00C730B9" w:rsidP="002E6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293D3" w14:textId="77777777" w:rsidR="00010CD8" w:rsidRDefault="00010C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1C4EE" w14:textId="77777777" w:rsidR="00010CD8" w:rsidRDefault="00010C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B1F22" w14:textId="77777777" w:rsidR="00010CD8" w:rsidRDefault="00010C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76FCC"/>
    <w:multiLevelType w:val="hybridMultilevel"/>
    <w:tmpl w:val="18DC3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86DFB"/>
    <w:multiLevelType w:val="hybridMultilevel"/>
    <w:tmpl w:val="F82A2C7E"/>
    <w:lvl w:ilvl="0" w:tplc="21C262CE">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05733F"/>
    <w:multiLevelType w:val="hybridMultilevel"/>
    <w:tmpl w:val="31481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7938083">
    <w:abstractNumId w:val="2"/>
  </w:num>
  <w:num w:numId="2" w16cid:durableId="1234704842">
    <w:abstractNumId w:val="0"/>
  </w:num>
  <w:num w:numId="3" w16cid:durableId="694117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13D"/>
    <w:rsid w:val="00000DE8"/>
    <w:rsid w:val="00005938"/>
    <w:rsid w:val="00007FD2"/>
    <w:rsid w:val="00010CD8"/>
    <w:rsid w:val="00020D62"/>
    <w:rsid w:val="00023E1A"/>
    <w:rsid w:val="00054DDB"/>
    <w:rsid w:val="00055014"/>
    <w:rsid w:val="00063B7D"/>
    <w:rsid w:val="0009613A"/>
    <w:rsid w:val="000A6B2F"/>
    <w:rsid w:val="000B1B5C"/>
    <w:rsid w:val="000C368C"/>
    <w:rsid w:val="000D580B"/>
    <w:rsid w:val="000E2916"/>
    <w:rsid w:val="000F3E7B"/>
    <w:rsid w:val="00103979"/>
    <w:rsid w:val="001048B3"/>
    <w:rsid w:val="0011743F"/>
    <w:rsid w:val="00131846"/>
    <w:rsid w:val="00132033"/>
    <w:rsid w:val="001344AC"/>
    <w:rsid w:val="00150828"/>
    <w:rsid w:val="001668C9"/>
    <w:rsid w:val="0017729E"/>
    <w:rsid w:val="00177344"/>
    <w:rsid w:val="001775AD"/>
    <w:rsid w:val="001802BC"/>
    <w:rsid w:val="00180A86"/>
    <w:rsid w:val="001A76D6"/>
    <w:rsid w:val="001B2B60"/>
    <w:rsid w:val="001C009D"/>
    <w:rsid w:val="001C162E"/>
    <w:rsid w:val="001C4C72"/>
    <w:rsid w:val="001C55A2"/>
    <w:rsid w:val="001E3974"/>
    <w:rsid w:val="001F137F"/>
    <w:rsid w:val="00202FF8"/>
    <w:rsid w:val="00222115"/>
    <w:rsid w:val="00233461"/>
    <w:rsid w:val="002400C0"/>
    <w:rsid w:val="002441E6"/>
    <w:rsid w:val="00250DDB"/>
    <w:rsid w:val="00256728"/>
    <w:rsid w:val="00260D89"/>
    <w:rsid w:val="00270758"/>
    <w:rsid w:val="00272FD9"/>
    <w:rsid w:val="0027363D"/>
    <w:rsid w:val="002A5931"/>
    <w:rsid w:val="002B2C25"/>
    <w:rsid w:val="002B2CA5"/>
    <w:rsid w:val="002B68A0"/>
    <w:rsid w:val="002B6D72"/>
    <w:rsid w:val="002C644D"/>
    <w:rsid w:val="002D4A19"/>
    <w:rsid w:val="002E68C9"/>
    <w:rsid w:val="002E7343"/>
    <w:rsid w:val="00300CA4"/>
    <w:rsid w:val="00321C58"/>
    <w:rsid w:val="00336963"/>
    <w:rsid w:val="00347EAF"/>
    <w:rsid w:val="00360724"/>
    <w:rsid w:val="003760EB"/>
    <w:rsid w:val="003874FC"/>
    <w:rsid w:val="003A349A"/>
    <w:rsid w:val="003A3662"/>
    <w:rsid w:val="003A3DA8"/>
    <w:rsid w:val="003A4F6D"/>
    <w:rsid w:val="003B4209"/>
    <w:rsid w:val="003C6740"/>
    <w:rsid w:val="003C7F44"/>
    <w:rsid w:val="003D0238"/>
    <w:rsid w:val="003D2F84"/>
    <w:rsid w:val="003E268A"/>
    <w:rsid w:val="003E53B5"/>
    <w:rsid w:val="003E6FBB"/>
    <w:rsid w:val="00422CF6"/>
    <w:rsid w:val="00423C67"/>
    <w:rsid w:val="004249F2"/>
    <w:rsid w:val="004374BE"/>
    <w:rsid w:val="00453533"/>
    <w:rsid w:val="00464BF8"/>
    <w:rsid w:val="00474F9F"/>
    <w:rsid w:val="00483E13"/>
    <w:rsid w:val="00487508"/>
    <w:rsid w:val="004B6485"/>
    <w:rsid w:val="004D0784"/>
    <w:rsid w:val="004D0D7C"/>
    <w:rsid w:val="004E7521"/>
    <w:rsid w:val="005007EB"/>
    <w:rsid w:val="005150B7"/>
    <w:rsid w:val="00542EC1"/>
    <w:rsid w:val="005446CB"/>
    <w:rsid w:val="00544F1D"/>
    <w:rsid w:val="00545057"/>
    <w:rsid w:val="00547799"/>
    <w:rsid w:val="00554D8C"/>
    <w:rsid w:val="0057713D"/>
    <w:rsid w:val="005B1751"/>
    <w:rsid w:val="005C418B"/>
    <w:rsid w:val="005C60FE"/>
    <w:rsid w:val="005D214E"/>
    <w:rsid w:val="005E012F"/>
    <w:rsid w:val="005E24EB"/>
    <w:rsid w:val="005E4CC6"/>
    <w:rsid w:val="005E673E"/>
    <w:rsid w:val="005F6DAB"/>
    <w:rsid w:val="006129DC"/>
    <w:rsid w:val="00614F50"/>
    <w:rsid w:val="006223C9"/>
    <w:rsid w:val="00652024"/>
    <w:rsid w:val="00652980"/>
    <w:rsid w:val="00667320"/>
    <w:rsid w:val="006775D7"/>
    <w:rsid w:val="006C3E97"/>
    <w:rsid w:val="006D2765"/>
    <w:rsid w:val="00710983"/>
    <w:rsid w:val="00717C43"/>
    <w:rsid w:val="00723CF2"/>
    <w:rsid w:val="00735147"/>
    <w:rsid w:val="00735E4F"/>
    <w:rsid w:val="007379AB"/>
    <w:rsid w:val="0074026B"/>
    <w:rsid w:val="00740925"/>
    <w:rsid w:val="007416C9"/>
    <w:rsid w:val="0075268A"/>
    <w:rsid w:val="0079354A"/>
    <w:rsid w:val="007B3A83"/>
    <w:rsid w:val="007C30E2"/>
    <w:rsid w:val="007C6CF1"/>
    <w:rsid w:val="007C74B3"/>
    <w:rsid w:val="007D0111"/>
    <w:rsid w:val="007D5A44"/>
    <w:rsid w:val="007E0981"/>
    <w:rsid w:val="007F26C5"/>
    <w:rsid w:val="007F708B"/>
    <w:rsid w:val="008141D5"/>
    <w:rsid w:val="00821412"/>
    <w:rsid w:val="00822D17"/>
    <w:rsid w:val="00835C66"/>
    <w:rsid w:val="00847B60"/>
    <w:rsid w:val="008552BD"/>
    <w:rsid w:val="0086274A"/>
    <w:rsid w:val="00862894"/>
    <w:rsid w:val="00872BF5"/>
    <w:rsid w:val="00882A57"/>
    <w:rsid w:val="00885038"/>
    <w:rsid w:val="008914D7"/>
    <w:rsid w:val="00896534"/>
    <w:rsid w:val="0089797C"/>
    <w:rsid w:val="008B4BEB"/>
    <w:rsid w:val="008F7957"/>
    <w:rsid w:val="00917AC6"/>
    <w:rsid w:val="00924809"/>
    <w:rsid w:val="00952A27"/>
    <w:rsid w:val="00973627"/>
    <w:rsid w:val="00981CA6"/>
    <w:rsid w:val="00994572"/>
    <w:rsid w:val="0099559D"/>
    <w:rsid w:val="009A7D6E"/>
    <w:rsid w:val="009C6BF5"/>
    <w:rsid w:val="009C7BF0"/>
    <w:rsid w:val="009E13BB"/>
    <w:rsid w:val="009F07BA"/>
    <w:rsid w:val="009F1C45"/>
    <w:rsid w:val="00A14CA8"/>
    <w:rsid w:val="00A154C9"/>
    <w:rsid w:val="00A22D85"/>
    <w:rsid w:val="00A304F2"/>
    <w:rsid w:val="00A31FDE"/>
    <w:rsid w:val="00A414B6"/>
    <w:rsid w:val="00A451B1"/>
    <w:rsid w:val="00A46E7C"/>
    <w:rsid w:val="00A5776A"/>
    <w:rsid w:val="00A713EB"/>
    <w:rsid w:val="00A75082"/>
    <w:rsid w:val="00A76A58"/>
    <w:rsid w:val="00A76B10"/>
    <w:rsid w:val="00AB0174"/>
    <w:rsid w:val="00AC33B2"/>
    <w:rsid w:val="00AD4F43"/>
    <w:rsid w:val="00AD527F"/>
    <w:rsid w:val="00AF0B3F"/>
    <w:rsid w:val="00AF64CA"/>
    <w:rsid w:val="00B11299"/>
    <w:rsid w:val="00B21045"/>
    <w:rsid w:val="00B548B1"/>
    <w:rsid w:val="00B56B2B"/>
    <w:rsid w:val="00B61D95"/>
    <w:rsid w:val="00B7460E"/>
    <w:rsid w:val="00B85B70"/>
    <w:rsid w:val="00B95675"/>
    <w:rsid w:val="00BB7E52"/>
    <w:rsid w:val="00BC481B"/>
    <w:rsid w:val="00BC541F"/>
    <w:rsid w:val="00BE14BD"/>
    <w:rsid w:val="00BE20B9"/>
    <w:rsid w:val="00BF0283"/>
    <w:rsid w:val="00C06B37"/>
    <w:rsid w:val="00C2025E"/>
    <w:rsid w:val="00C4315E"/>
    <w:rsid w:val="00C730B9"/>
    <w:rsid w:val="00C810C0"/>
    <w:rsid w:val="00CA1AE1"/>
    <w:rsid w:val="00CA1B32"/>
    <w:rsid w:val="00CA240B"/>
    <w:rsid w:val="00CD700B"/>
    <w:rsid w:val="00CE3B77"/>
    <w:rsid w:val="00CE4075"/>
    <w:rsid w:val="00CE456A"/>
    <w:rsid w:val="00CE6EB8"/>
    <w:rsid w:val="00CF5295"/>
    <w:rsid w:val="00D10DDF"/>
    <w:rsid w:val="00D27217"/>
    <w:rsid w:val="00D300E1"/>
    <w:rsid w:val="00D31245"/>
    <w:rsid w:val="00D326F8"/>
    <w:rsid w:val="00D35CC6"/>
    <w:rsid w:val="00D50988"/>
    <w:rsid w:val="00D54D86"/>
    <w:rsid w:val="00D8281A"/>
    <w:rsid w:val="00D868F1"/>
    <w:rsid w:val="00DB5106"/>
    <w:rsid w:val="00DC00CC"/>
    <w:rsid w:val="00DC4BD2"/>
    <w:rsid w:val="00DD23BD"/>
    <w:rsid w:val="00DD7C6D"/>
    <w:rsid w:val="00DE5754"/>
    <w:rsid w:val="00DF3426"/>
    <w:rsid w:val="00E02500"/>
    <w:rsid w:val="00E038A9"/>
    <w:rsid w:val="00E13E2E"/>
    <w:rsid w:val="00E2015A"/>
    <w:rsid w:val="00E30F8F"/>
    <w:rsid w:val="00E32529"/>
    <w:rsid w:val="00E365EB"/>
    <w:rsid w:val="00E46426"/>
    <w:rsid w:val="00E46998"/>
    <w:rsid w:val="00E70AFA"/>
    <w:rsid w:val="00E823F4"/>
    <w:rsid w:val="00E86EBE"/>
    <w:rsid w:val="00EB526D"/>
    <w:rsid w:val="00EC4126"/>
    <w:rsid w:val="00EC72EC"/>
    <w:rsid w:val="00EE2284"/>
    <w:rsid w:val="00EF5502"/>
    <w:rsid w:val="00F046B5"/>
    <w:rsid w:val="00F2731F"/>
    <w:rsid w:val="00F278F7"/>
    <w:rsid w:val="00F41595"/>
    <w:rsid w:val="00F46C2F"/>
    <w:rsid w:val="00F50AC5"/>
    <w:rsid w:val="00F56091"/>
    <w:rsid w:val="00F6358A"/>
    <w:rsid w:val="00F77993"/>
    <w:rsid w:val="00F8546E"/>
    <w:rsid w:val="00FB19D3"/>
    <w:rsid w:val="00FB40F1"/>
    <w:rsid w:val="00FC05AF"/>
    <w:rsid w:val="00FC1D9F"/>
    <w:rsid w:val="00FD4188"/>
    <w:rsid w:val="00FD6B74"/>
    <w:rsid w:val="00FE3B81"/>
    <w:rsid w:val="00FF2C0B"/>
    <w:rsid w:val="00FF4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8FDA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8C9"/>
    <w:pPr>
      <w:tabs>
        <w:tab w:val="center" w:pos="4680"/>
        <w:tab w:val="right" w:pos="9360"/>
      </w:tabs>
    </w:pPr>
    <w:rPr>
      <w:lang w:val="x-none" w:eastAsia="x-none"/>
    </w:rPr>
  </w:style>
  <w:style w:type="character" w:customStyle="1" w:styleId="HeaderChar">
    <w:name w:val="Header Char"/>
    <w:link w:val="Header"/>
    <w:uiPriority w:val="99"/>
    <w:rsid w:val="002E68C9"/>
    <w:rPr>
      <w:sz w:val="22"/>
      <w:szCs w:val="22"/>
    </w:rPr>
  </w:style>
  <w:style w:type="paragraph" w:styleId="Footer">
    <w:name w:val="footer"/>
    <w:basedOn w:val="Normal"/>
    <w:link w:val="FooterChar"/>
    <w:uiPriority w:val="99"/>
    <w:unhideWhenUsed/>
    <w:rsid w:val="002E68C9"/>
    <w:pPr>
      <w:tabs>
        <w:tab w:val="center" w:pos="4680"/>
        <w:tab w:val="right" w:pos="9360"/>
      </w:tabs>
    </w:pPr>
    <w:rPr>
      <w:lang w:val="x-none" w:eastAsia="x-none"/>
    </w:rPr>
  </w:style>
  <w:style w:type="character" w:customStyle="1" w:styleId="FooterChar">
    <w:name w:val="Footer Char"/>
    <w:link w:val="Footer"/>
    <w:uiPriority w:val="99"/>
    <w:rsid w:val="002E68C9"/>
    <w:rPr>
      <w:sz w:val="22"/>
      <w:szCs w:val="22"/>
    </w:rPr>
  </w:style>
  <w:style w:type="paragraph" w:styleId="ListParagraph">
    <w:name w:val="List Paragraph"/>
    <w:basedOn w:val="Normal"/>
    <w:uiPriority w:val="34"/>
    <w:qFormat/>
    <w:rsid w:val="007E0981"/>
    <w:pPr>
      <w:ind w:left="720"/>
      <w:contextualSpacing/>
    </w:pPr>
    <w:rPr>
      <w:rFonts w:eastAsia="Calibri"/>
    </w:rPr>
  </w:style>
  <w:style w:type="table" w:styleId="TableGrid">
    <w:name w:val="Table Grid"/>
    <w:basedOn w:val="TableNormal"/>
    <w:uiPriority w:val="59"/>
    <w:rsid w:val="007E098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TEXT">
    <w:name w:val="BOLD TEXT"/>
    <w:basedOn w:val="TEXT"/>
    <w:link w:val="BOLDTEXTChar"/>
    <w:qFormat/>
    <w:rsid w:val="009A7D6E"/>
    <w:pPr>
      <w:tabs>
        <w:tab w:val="left" w:pos="1040"/>
      </w:tabs>
      <w:suppressAutoHyphens/>
      <w:textAlignment w:val="center"/>
    </w:pPr>
    <w:rPr>
      <w:rFonts w:eastAsia="Calibri"/>
      <w:b/>
      <w:bCs/>
      <w:color w:val="000000"/>
      <w:szCs w:val="18"/>
    </w:rPr>
  </w:style>
  <w:style w:type="character" w:customStyle="1" w:styleId="BOLDTEXTChar">
    <w:name w:val="BOLD TEXT Char"/>
    <w:link w:val="BOLDTEXT"/>
    <w:rsid w:val="009A7D6E"/>
    <w:rPr>
      <w:rFonts w:ascii="Arial" w:eastAsia="Calibri" w:hAnsi="Arial" w:cs="Arial"/>
      <w:b/>
      <w:bCs/>
      <w:color w:val="000000"/>
      <w:szCs w:val="18"/>
    </w:rPr>
  </w:style>
  <w:style w:type="paragraph" w:customStyle="1" w:styleId="TEXT">
    <w:name w:val="TEXT"/>
    <w:basedOn w:val="Normal"/>
    <w:link w:val="TEXTChar"/>
    <w:qFormat/>
    <w:rsid w:val="00BC481B"/>
    <w:pPr>
      <w:widowControl w:val="0"/>
      <w:autoSpaceDE w:val="0"/>
      <w:autoSpaceDN w:val="0"/>
      <w:adjustRightInd w:val="0"/>
      <w:spacing w:before="120" w:after="0" w:line="240" w:lineRule="auto"/>
      <w:ind w:right="-245"/>
    </w:pPr>
    <w:rPr>
      <w:rFonts w:ascii="Arial" w:hAnsi="Arial" w:cs="Arial"/>
      <w:sz w:val="20"/>
      <w:szCs w:val="20"/>
    </w:rPr>
  </w:style>
  <w:style w:type="paragraph" w:customStyle="1" w:styleId="BOLDBULLETS">
    <w:name w:val="BOLD BULLETS"/>
    <w:basedOn w:val="Normal"/>
    <w:link w:val="BOLDBULLETSChar"/>
    <w:qFormat/>
    <w:rsid w:val="009A7D6E"/>
    <w:pPr>
      <w:widowControl w:val="0"/>
      <w:autoSpaceDE w:val="0"/>
      <w:autoSpaceDN w:val="0"/>
      <w:adjustRightInd w:val="0"/>
      <w:spacing w:before="60" w:after="0" w:line="240" w:lineRule="auto"/>
      <w:ind w:left="360" w:right="-245" w:hanging="360"/>
      <w:contextualSpacing/>
    </w:pPr>
    <w:rPr>
      <w:rFonts w:ascii="Arial" w:hAnsi="Arial" w:cs="Arial"/>
      <w:b/>
      <w:sz w:val="20"/>
      <w:szCs w:val="20"/>
    </w:rPr>
  </w:style>
  <w:style w:type="character" w:customStyle="1" w:styleId="TEXTChar">
    <w:name w:val="TEXT Char"/>
    <w:basedOn w:val="DefaultParagraphFont"/>
    <w:link w:val="TEXT"/>
    <w:rsid w:val="00BC481B"/>
    <w:rPr>
      <w:rFonts w:ascii="Arial" w:hAnsi="Arial" w:cs="Arial"/>
    </w:rPr>
  </w:style>
  <w:style w:type="character" w:customStyle="1" w:styleId="BOLDBULLETSChar">
    <w:name w:val="BOLD BULLETS Char"/>
    <w:basedOn w:val="DefaultParagraphFont"/>
    <w:link w:val="BOLDBULLETS"/>
    <w:rsid w:val="009A7D6E"/>
    <w:rPr>
      <w:rFonts w:ascii="Arial" w:hAnsi="Arial" w:cs="Arial"/>
      <w:b/>
    </w:rPr>
  </w:style>
  <w:style w:type="character" w:styleId="CommentReference">
    <w:name w:val="annotation reference"/>
    <w:basedOn w:val="DefaultParagraphFont"/>
    <w:uiPriority w:val="99"/>
    <w:semiHidden/>
    <w:unhideWhenUsed/>
    <w:rsid w:val="00A31FDE"/>
    <w:rPr>
      <w:sz w:val="16"/>
      <w:szCs w:val="16"/>
    </w:rPr>
  </w:style>
  <w:style w:type="paragraph" w:styleId="CommentText">
    <w:name w:val="annotation text"/>
    <w:basedOn w:val="Normal"/>
    <w:link w:val="CommentTextChar"/>
    <w:uiPriority w:val="99"/>
    <w:semiHidden/>
    <w:unhideWhenUsed/>
    <w:rsid w:val="00A31FDE"/>
    <w:pPr>
      <w:spacing w:line="240" w:lineRule="auto"/>
    </w:pPr>
    <w:rPr>
      <w:sz w:val="20"/>
      <w:szCs w:val="20"/>
    </w:rPr>
  </w:style>
  <w:style w:type="character" w:customStyle="1" w:styleId="CommentTextChar">
    <w:name w:val="Comment Text Char"/>
    <w:basedOn w:val="DefaultParagraphFont"/>
    <w:link w:val="CommentText"/>
    <w:uiPriority w:val="99"/>
    <w:semiHidden/>
    <w:rsid w:val="00A31FDE"/>
  </w:style>
  <w:style w:type="paragraph" w:styleId="CommentSubject">
    <w:name w:val="annotation subject"/>
    <w:basedOn w:val="CommentText"/>
    <w:next w:val="CommentText"/>
    <w:link w:val="CommentSubjectChar"/>
    <w:uiPriority w:val="99"/>
    <w:semiHidden/>
    <w:unhideWhenUsed/>
    <w:rsid w:val="00A31FDE"/>
    <w:rPr>
      <w:b/>
      <w:bCs/>
    </w:rPr>
  </w:style>
  <w:style w:type="character" w:customStyle="1" w:styleId="CommentSubjectChar">
    <w:name w:val="Comment Subject Char"/>
    <w:basedOn w:val="CommentTextChar"/>
    <w:link w:val="CommentSubject"/>
    <w:uiPriority w:val="99"/>
    <w:semiHidden/>
    <w:rsid w:val="00A31FDE"/>
    <w:rPr>
      <w:b/>
      <w:bCs/>
    </w:rPr>
  </w:style>
  <w:style w:type="character" w:styleId="Hyperlink">
    <w:name w:val="Hyperlink"/>
    <w:basedOn w:val="DefaultParagraphFont"/>
    <w:uiPriority w:val="99"/>
    <w:unhideWhenUsed/>
    <w:rsid w:val="0011743F"/>
    <w:rPr>
      <w:color w:val="0563C1" w:themeColor="hyperlink"/>
      <w:u w:val="single"/>
    </w:rPr>
  </w:style>
  <w:style w:type="character" w:styleId="UnresolvedMention">
    <w:name w:val="Unresolved Mention"/>
    <w:basedOn w:val="DefaultParagraphFont"/>
    <w:uiPriority w:val="99"/>
    <w:semiHidden/>
    <w:unhideWhenUsed/>
    <w:rsid w:val="0011743F"/>
    <w:rPr>
      <w:color w:val="605E5C"/>
      <w:shd w:val="clear" w:color="auto" w:fill="E1DFDD"/>
    </w:rPr>
  </w:style>
  <w:style w:type="paragraph" w:styleId="Revision">
    <w:name w:val="Revision"/>
    <w:hidden/>
    <w:uiPriority w:val="99"/>
    <w:semiHidden/>
    <w:rsid w:val="001668C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67430">
      <w:bodyDiv w:val="1"/>
      <w:marLeft w:val="0"/>
      <w:marRight w:val="0"/>
      <w:marTop w:val="0"/>
      <w:marBottom w:val="0"/>
      <w:divBdr>
        <w:top w:val="none" w:sz="0" w:space="0" w:color="auto"/>
        <w:left w:val="none" w:sz="0" w:space="0" w:color="auto"/>
        <w:bottom w:val="none" w:sz="0" w:space="0" w:color="auto"/>
        <w:right w:val="none" w:sz="0" w:space="0" w:color="auto"/>
      </w:divBdr>
    </w:div>
    <w:div w:id="204158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i.bauschhealth.com/globalassets/BHC/PI/Siliq-pi.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psoriasis.org/biologic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E24CE97D24546A383BD7B5D2DD163" ma:contentTypeVersion="18" ma:contentTypeDescription="Create a new document." ma:contentTypeScope="" ma:versionID="c38559846b0d0e1c1d6ba01f38925cfa">
  <xsd:schema xmlns:xsd="http://www.w3.org/2001/XMLSchema" xmlns:xs="http://www.w3.org/2001/XMLSchema" xmlns:p="http://schemas.microsoft.com/office/2006/metadata/properties" xmlns:ns1="http://schemas.microsoft.com/sharepoint/v3" xmlns:ns3="1f0de355-8ebc-4323-87eb-88c393f7bcd6" xmlns:ns4="3bc238ac-15d3-4fe1-ac17-e3042e93c834" targetNamespace="http://schemas.microsoft.com/office/2006/metadata/properties" ma:root="true" ma:fieldsID="9b1d63744a76662a03cb9784deba3017" ns1:_="" ns3:_="" ns4:_="">
    <xsd:import namespace="http://schemas.microsoft.com/sharepoint/v3"/>
    <xsd:import namespace="1f0de355-8ebc-4323-87eb-88c393f7bcd6"/>
    <xsd:import namespace="3bc238ac-15d3-4fe1-ac17-e3042e93c83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element ref="ns3:MediaServiceSearchProperties" minOccurs="0"/>
                <xsd:element ref="ns3:_activity"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0de355-8ebc-4323-87eb-88c393f7b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c238ac-15d3-4fe1-ac17-e3042e93c83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1f0de355-8ebc-4323-87eb-88c393f7bcd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FCBDB6-495D-4902-9A51-CB5255501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0de355-8ebc-4323-87eb-88c393f7bcd6"/>
    <ds:schemaRef ds:uri="3bc238ac-15d3-4fe1-ac17-e3042e93c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7EFC85-DACA-4AD7-B42E-A9B2EFE1E572}">
  <ds:schemaRefs>
    <ds:schemaRef ds:uri="http://schemas.microsoft.com/office/2006/metadata/properties"/>
    <ds:schemaRef ds:uri="http://schemas.microsoft.com/office/infopath/2007/PartnerControls"/>
    <ds:schemaRef ds:uri="http://schemas.microsoft.com/sharepoint/v3"/>
    <ds:schemaRef ds:uri="1f0de355-8ebc-4323-87eb-88c393f7bcd6"/>
  </ds:schemaRefs>
</ds:datastoreItem>
</file>

<file path=customXml/itemProps3.xml><?xml version="1.0" encoding="utf-8"?>
<ds:datastoreItem xmlns:ds="http://schemas.openxmlformats.org/officeDocument/2006/customXml" ds:itemID="{F275DF26-72AB-4FBC-AD1E-4E6E01920236}">
  <ds:schemaRefs>
    <ds:schemaRef ds:uri="http://schemas.microsoft.com/sharepoint/v3/contenttype/forms"/>
  </ds:schemaRefs>
</ds:datastoreItem>
</file>

<file path=docMetadata/LabelInfo.xml><?xml version="1.0" encoding="utf-8"?>
<clbl:labelList xmlns:clbl="http://schemas.microsoft.com/office/2020/mipLabelMetadata">
  <clbl:label id="{a72dda32-ee80-4da8-a3ac-ec0e9e41a50a}" enabled="0" method="" siteId="{a72dda32-ee80-4da8-a3ac-ec0e9e41a50a}"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4771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2023-07-26T14:55:00Z</dcterms:created>
  <dcterms:modified xsi:type="dcterms:W3CDTF">2023-07-26T14:55:00Z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0x010100724E24CE97D24546A383BD7B5D2DD163</vt:lpwstr>
  </property>
</Properties>
</file>